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863" w:type="dxa"/>
        <w:tblInd w:w="0" w:type="dxa"/>
        <w:shd w:val="clear"/>
        <w:tblLayout w:type="fixed"/>
        <w:tblCellMar>
          <w:top w:w="0" w:type="dxa"/>
          <w:left w:w="0" w:type="dxa"/>
          <w:bottom w:w="0" w:type="dxa"/>
          <w:right w:w="0" w:type="dxa"/>
        </w:tblCellMar>
      </w:tblPr>
      <w:tblGrid>
        <w:gridCol w:w="373"/>
        <w:gridCol w:w="3031"/>
        <w:gridCol w:w="2100"/>
        <w:gridCol w:w="1622"/>
        <w:gridCol w:w="3737"/>
      </w:tblGrid>
      <w:tr>
        <w:tblPrEx>
          <w:shd w:val="clear"/>
          <w:tblCellMar>
            <w:top w:w="0" w:type="dxa"/>
            <w:left w:w="0" w:type="dxa"/>
            <w:bottom w:w="0" w:type="dxa"/>
            <w:right w:w="0" w:type="dxa"/>
          </w:tblCellMar>
        </w:tblPrEx>
        <w:trPr>
          <w:trHeight w:val="540" w:hRule="atLeast"/>
        </w:trPr>
        <w:tc>
          <w:tcPr>
            <w:tcW w:w="10863" w:type="dxa"/>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bookmarkStart w:id="0" w:name="_GoBack" w:colFirst="0" w:colLast="4"/>
            <w:r>
              <w:rPr>
                <w:rFonts w:hint="eastAsia" w:ascii="宋体" w:hAnsi="宋体" w:eastAsia="宋体" w:cs="宋体"/>
                <w:i w:val="0"/>
                <w:color w:val="000000"/>
                <w:kern w:val="0"/>
                <w:sz w:val="18"/>
                <w:szCs w:val="18"/>
                <w:u w:val="none"/>
                <w:bdr w:val="none" w:color="auto" w:sz="0" w:space="0"/>
                <w:lang w:val="en-US" w:eastAsia="zh-CN" w:bidi="ar"/>
              </w:rPr>
              <w:t>2020年04月法律法规更新清单</w:t>
            </w:r>
          </w:p>
        </w:tc>
      </w:tr>
      <w:tr>
        <w:tblPrEx>
          <w:shd w:val="clear"/>
          <w:tblCellMar>
            <w:top w:w="0" w:type="dxa"/>
            <w:left w:w="0" w:type="dxa"/>
            <w:bottom w:w="0" w:type="dxa"/>
            <w:right w:w="0" w:type="dxa"/>
          </w:tblCellMar>
        </w:tblPrEx>
        <w:trPr>
          <w:trHeight w:val="720" w:hRule="atLeast"/>
        </w:trPr>
        <w:tc>
          <w:tcPr>
            <w:tcW w:w="37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NO.</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名称</w:t>
            </w:r>
          </w:p>
        </w:tc>
        <w:tc>
          <w:tcPr>
            <w:tcW w:w="21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颁布日期</w:t>
            </w:r>
          </w:p>
        </w:tc>
        <w:tc>
          <w:tcPr>
            <w:tcW w:w="162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实施日期</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来源</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关于《中华人民共和国著作权法修正案(草案)》的说明 </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2020.04.30</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2020.04.30</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https://www.pkulaw.com/protocol/8f16fc861836517d007a6eb47d41fb3dbdfb.html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关于《中华人民共和国人民武装警察法(修订草案)》的说明 </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2020.04.30</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2020.04.30</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https://www.pkulaw.com/protocol/8f16fc861836517d3c75708f45a0cc59bdfb.html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中华人民共和国主席令第44号——关于司法部部长、生态环境部部长任免的决定 </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2020.04.29</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2020.04.29</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https://www.pkulaw.com/chl/78ab1bb5b371cdabbdfb.html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全国人民代表大会常务委员会关于授权国务院在中国(海南)自由贸易试验区暂时调整适用有关法律规定的决定</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2020.04.29</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2020.04.30</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https://www.pkulaw.com/chl/01baaca0521251dbbdfb.html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中华人民共和国固体废物污染环境防治法(2020修订)</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2020.04.29</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2020.09.01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https://www.pkulaw.com/chl/38e38019d3cd06adbdfb.html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十三届全国人大常委会强化公共卫生法治保障立法修法工作计划 </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2020.04.17</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2020.04.17</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https://www.pkulaw.com/chl/c8a5fe8580c7ef80bdfb.html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全国安全生产专项整治三年行动11个实施方案主要内容</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2020.04.28</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2020.04.28</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https://www.ehs.cn/law/111987.html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关于《生态环境保护综合行政执法事项指导目录（2020年版）》有关事项说明的通知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2020.04.22</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2020.04.22</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https://www.ehs.cn/law/111956.html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厦门市人民代表大会常务委员会关于修改《厦门经济特区道路交通安全若干规定》的决定</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2020.04.21</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2020.08.01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https://www.ehs.cn/law/111988.html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厦门经济特区道路交通安全若干规定（2020年修订）</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2020.04.22</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2020.08.01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https://www.ehs.cn/law/111989.html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关于修改《苏州市建筑施工安全监督管理办法》等3件规章的决定</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2020.04.21</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2020.06.01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https://www.ehs.cn/law/111959.html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苏州市建筑施工安全监督管理办法（2020年修订）</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2020.04.21</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https://www.ehs.cn/law/111960.html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苏州市燃气管理办法（2020年修订）</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2020.04.21</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https://www.ehs.cn/law/111961.html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市政府办公室关于印发昆山市政府专职消防队伍管理办法（试行）的通知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2020.04.18</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2020.04.30</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https://www.ehs.cn/law/111974.html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中华人民共和国工业和信息化部公告2020年第15号</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2020.04.16</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2020.04.16</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https://www.ehs.cn/law/111990.html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石油天然气开采行业绿色工厂评价要求（HG/T 5678-2020）（正在收录）</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2020.04.16</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2020.10.01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https://www.ehs.cn/law/111992.html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石油炼制行业绿色工厂评价要求（HG/T 5677-2020）（正在收录）</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2020.04.16</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2020.10.01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https://www.ehs.cn/law/111991.html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炭素企业石墨化工序节能技术规范（YB/T 4814-2020）（正在收录）</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2020.04.16</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2020.10.01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https://www.ehs.cn/law/111993.html</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炭素企业混捏-成型工序节能技术规范（YB/T 4813-2020）（正在收录）</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2020.04.16</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2020.10.01</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https://www.ehs.cn/law/111994.html</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关于2020年度全国会计专业技术初级资格考试题型等有关问题的通知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2020.04.20</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2020.04.20</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http://www.law-lib.com/law/law_view.asp?id=685151</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国家药监局、国家卫生健康委关于发布药物临床试验质量管理规范的公告</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2020.04.27</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2020.04.27</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http://www.law-lib.com/law/law_view.asp?id=684855</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关于进一步加强医疗美容综合监管执法工作的通知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2020.04.03</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2020.04.03</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http://www.law-lib.com/law/law_view.asp?id=684847</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网络安全审查办法</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2020.04.13</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2020.04.13</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http://www.law-lib.com/law/law_view.asp?id=684634</w:t>
            </w:r>
          </w:p>
        </w:tc>
      </w:tr>
      <w:tr>
        <w:tblPrEx>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交通运输部关于恢复收费公路收费的公告</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2020.04.28</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2020.04.28</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http://www.law-lib.com/law/law_view.asp?id=684642</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关于创业板改革并试点注册制实施前后相关行政许可事项过渡期安排的通知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2020.04.27</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2020.04.27</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http://www.law-lib.com/law/law_view.asp?id=684633</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关于延续实施普惠金融有关税收优惠政策的公告　　</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2020.04.20</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2020.04.20</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http://www.law-lib.com/law/law_view.asp?id=684451</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关于完善新能源汽车推广应用财政补贴政策的通知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2020.04.23</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2020.04.23</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http://www.law-lib.com/law/law_view.asp?id=684192</w:t>
            </w:r>
          </w:p>
        </w:tc>
      </w:tr>
      <w:tr>
        <w:tblPrEx>
          <w:shd w:val="clear"/>
          <w:tblCellMar>
            <w:top w:w="0" w:type="dxa"/>
            <w:left w:w="0" w:type="dxa"/>
            <w:bottom w:w="0" w:type="dxa"/>
            <w:right w:w="0" w:type="dxa"/>
          </w:tblCellMar>
        </w:tblPrEx>
        <w:trPr>
          <w:trHeight w:val="1000" w:hRule="atLeast"/>
        </w:trPr>
        <w:tc>
          <w:tcPr>
            <w:tcW w:w="37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w:t>
            </w:r>
          </w:p>
        </w:tc>
        <w:tc>
          <w:tcPr>
            <w:tcW w:w="3031"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中国银保监会办公厅关于做好农民工工资支付保函相关工作的通知</w:t>
            </w:r>
          </w:p>
        </w:tc>
        <w:tc>
          <w:tcPr>
            <w:tcW w:w="21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2020.04.13</w:t>
            </w:r>
          </w:p>
        </w:tc>
        <w:tc>
          <w:tcPr>
            <w:tcW w:w="162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2020.04.13</w:t>
            </w:r>
          </w:p>
        </w:tc>
        <w:tc>
          <w:tcPr>
            <w:tcW w:w="3737"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http://www.law-lib.com/law/law_view.asp?id=683988</w:t>
            </w:r>
          </w:p>
        </w:tc>
      </w:tr>
      <w:bookmarkEnd w:id="0"/>
    </w:tbl>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84174D"/>
    <w:rsid w:val="5984174D"/>
    <w:rsid w:val="633A7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