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0" w:type="dxa"/>
        <w:shd w:val="clear"/>
        <w:tblLayout w:type="autofit"/>
        <w:tblCellMar>
          <w:top w:w="0" w:type="dxa"/>
          <w:left w:w="0" w:type="dxa"/>
          <w:bottom w:w="0" w:type="dxa"/>
          <w:right w:w="0" w:type="dxa"/>
        </w:tblCellMar>
      </w:tblPr>
      <w:tblGrid>
        <w:gridCol w:w="442"/>
        <w:gridCol w:w="3548"/>
        <w:gridCol w:w="1030"/>
        <w:gridCol w:w="1030"/>
        <w:gridCol w:w="4548"/>
      </w:tblGrid>
      <w:tr>
        <w:tblPrEx>
          <w:tblCellMar>
            <w:top w:w="0" w:type="dxa"/>
            <w:left w:w="0" w:type="dxa"/>
            <w:bottom w:w="0" w:type="dxa"/>
            <w:right w:w="0" w:type="dxa"/>
          </w:tblCellMar>
        </w:tblPrEx>
        <w:trPr>
          <w:trHeight w:val="800" w:hRule="atLeast"/>
        </w:trPr>
        <w:tc>
          <w:tcPr>
            <w:tcW w:w="0" w:type="auto"/>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2021年01月法律法规更新清单</w:t>
            </w:r>
            <w:bookmarkStart w:id="0" w:name="_GoBack"/>
            <w:bookmarkEnd w:id="0"/>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NO.</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颁布日期</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实施日期</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来源</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关于做好2021年春运工作和加强春运疫情防控的意见</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https://www.ehs.cn/law/115046.html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天津市人民政府关于印发天津市突发事件总体应急预案的通知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https://www.ehs.cn/law/115049.html</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汽车工业绿色厂房评价标准（T/CECS 802-2021）（正在收录）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https://www.ehs.cn/law/115092.html</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广东省住房和城乡建设厅关于严格落实房屋市政工程预防高处坠落事故“六不施工”要求的通知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https://www.ehs.cn/law/114984.html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广东省住房和城乡建设厅关于印发疫情防控倡议春节版“工地八条”的通知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https://www.ehs.cn/law/114983.html</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省政府办公厅关于印发江苏省重污染天气应急预案的通知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https://www.ehs.cn/law/115050.html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关于印发进口物品生产经营单位新冠病毒防控技术指南的通知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https://www.ehs.cn/law/115106.html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兽药工业洁净厂房设计标准（T/CECS 805-2021）（正在收录）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https://www.ehs.cn/law/115091.html</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建筑幕墙防火技术规程（T/CECS 806-2021）（正在收录）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https://www.ehs.cn/law/115090.html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0" w:type="auto"/>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建筑木结构用防火涂料及阻燃处理剂应用技术规程（T/CECS 807-2021）（正在收录）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https://www.ehs.cn/law/115089.html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数据中心二氧化碳灭火器应用技术规程（T/CECS 808-2021）（正在收录）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2021.06.01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https://www.ehs.cn/law/115088.html</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关于核减环境违法等农林生物质发电项目可再生能源电价附加补助资金的通知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http://www.law-lib.com/law/law_view.asp?id=711682</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市场监管总局关于开展肉制品质量安全提升行动的指导意见</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2021.01.19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http://www.law-lib.com/law/law_view.asp?id=710503</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关于发布《汽车排放检验机构和汽车排放性能维护（维修）站数据交换规范》的公告</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2020.12.19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http://www.law-lib.com/law/law_view.asp?id=710294</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市场监管总局办公厅关于《食品安全法实施条例》第81条适用有关事项的意见</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2021.01.06</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2021.01.06</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http://www.law-lib.com/law/law_view.asp?id=709779</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《道路机动车辆生产企业及产品》（第339批）、《新能源汽车推广应用推荐车型目录》（2020年第13批）、《享受车船税减免优惠的节约能源 使用新能源汽车车型目录》（第二十二批）、《免征车辆购置税的新能源汽车车型目录》（第三十八批）</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http://www.law-lib.com/law/law_view.asp?id=709651</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关于核减环境违法等农林生物质发电项目可再生能源电价附加补助资金的通知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http://www.law-lib.com/law/law_view.asp?id=711682</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医疗机构医疗保障定点管理暂行办法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http://www.law-lib.com/law/law_view.asp?id=709702</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关于调整我省高速公路货车通行费收费标准的通知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1A2930"/>
                <w:sz w:val="21"/>
                <w:szCs w:val="21"/>
                <w:u w:val="none"/>
              </w:rPr>
            </w:pPr>
            <w:r>
              <w:rPr>
                <w:rFonts w:hint="eastAsia" w:ascii="宋体" w:hAnsi="宋体" w:eastAsia="宋体" w:cs="宋体"/>
                <w:i w:val="0"/>
                <w:color w:val="1A2930"/>
                <w:kern w:val="0"/>
                <w:sz w:val="21"/>
                <w:szCs w:val="21"/>
                <w:u w:val="none"/>
                <w:bdr w:val="none" w:color="auto" w:sz="0" w:space="0"/>
                <w:lang w:val="en-US" w:eastAsia="zh-CN" w:bidi="ar"/>
              </w:rPr>
              <w:t>http://www.law-lib.com/law/law_view.asp?id=710431</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w:t>
            </w:r>
          </w:p>
        </w:tc>
        <w:tc>
          <w:tcPr>
            <w:tcW w:w="0" w:type="auto"/>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关于规范再生钢铁原料进口管理有关事项的公告</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http://www.law-lib.com/law/law_view.asp?id=709262</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关于进一步完善新能源汽车推广应用财政补贴政策的通知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2020.12.31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http://www.law-lib.com/law/law_view.asp?id=709263</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关于推进污水资源化利用的指导意见</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2021.01.04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http://www.law-lib.com/law/law_view.asp?id=709709</w:t>
            </w:r>
          </w:p>
        </w:tc>
      </w:tr>
      <w:tr>
        <w:tblPrEx>
          <w:shd w:val="clear"/>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中华人民共和国行政处罚法（2021年修订）</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2021.01.22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2021.07.15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https://www.ehs.cn/law/115066.html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关于印发进口高风险非冷链集装箱和货物外包装表面预防性消毒与防护技术指南的通知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https://www.ehs.cn/law/115064.html</w:t>
            </w:r>
          </w:p>
        </w:tc>
      </w:tr>
      <w:tr>
        <w:tblPrEx>
          <w:tblCellMar>
            <w:top w:w="0" w:type="dxa"/>
            <w:left w:w="0" w:type="dxa"/>
            <w:bottom w:w="0" w:type="dxa"/>
            <w:right w:w="0"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国家卫生健康委办公厅关于贯彻落实职业卫生技术服务机构管理办法的通知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2021.01.20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https://www.ehs.cn/law/115065.html</w:t>
            </w:r>
          </w:p>
        </w:tc>
      </w:tr>
    </w:tbl>
    <w:p/>
    <w:sectPr>
      <w:pgSz w:w="11906" w:h="16838"/>
      <w:pgMar w:top="1440" w:right="669" w:bottom="1440" w:left="66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643C01"/>
    <w:rsid w:val="06643C01"/>
    <w:rsid w:val="333570C5"/>
    <w:rsid w:val="79FA0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