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2584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2"/>
        <w:gridCol w:w="64"/>
        <w:gridCol w:w="7654"/>
        <w:gridCol w:w="551"/>
        <w:gridCol w:w="1437"/>
        <w:gridCol w:w="676"/>
        <w:gridCol w:w="1274"/>
        <w:gridCol w:w="799"/>
        <w:gridCol w:w="10845"/>
        <w:gridCol w:w="1533"/>
      </w:tblGrid>
      <w:tr w14:paraId="1D0A94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33" w:type="dxa"/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DA2714">
            <w:pPr>
              <w:jc w:val="center"/>
              <w:rPr>
                <w:color w:val="FFFFFF"/>
              </w:rPr>
            </w:pPr>
            <w:r>
              <w:rPr>
                <w:rFonts w:hint="eastAsia"/>
                <w:color w:val="FFFFFF"/>
              </w:rPr>
              <w:t>No</w:t>
            </w:r>
          </w:p>
        </w:tc>
        <w:tc>
          <w:tcPr>
            <w:tcW w:w="7718" w:type="dxa"/>
            <w:gridSpan w:val="2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9A6A62">
            <w:pPr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名称</w:t>
            </w:r>
          </w:p>
        </w:tc>
        <w:tc>
          <w:tcPr>
            <w:tcW w:w="1988" w:type="dxa"/>
            <w:gridSpan w:val="2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88FC2D">
            <w:pPr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颁布日期</w:t>
            </w:r>
          </w:p>
        </w:tc>
        <w:tc>
          <w:tcPr>
            <w:tcW w:w="1950" w:type="dxa"/>
            <w:gridSpan w:val="2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4A89B1">
            <w:pPr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实施日期</w:t>
            </w:r>
          </w:p>
        </w:tc>
        <w:tc>
          <w:tcPr>
            <w:tcW w:w="11644" w:type="dxa"/>
            <w:gridSpan w:val="2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BB5811">
            <w:pPr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来源</w:t>
            </w:r>
          </w:p>
        </w:tc>
      </w:tr>
      <w:tr w14:paraId="21CAB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76" w:type="dxa"/>
            <w:gridSpan w:val="2"/>
            <w:tcBorders>
              <w:top w:val="single" w:color="4F81BD" w:sz="4" w:space="0"/>
              <w:left w:val="nil"/>
              <w:bottom w:val="nil"/>
              <w:right w:val="nil"/>
              <w:tl2br w:val="nil"/>
            </w:tcBorders>
            <w:shd w:val="clear" w:color="auto" w:fill="EDF2F8"/>
            <w:noWrap/>
            <w:vAlign w:val="center"/>
          </w:tcPr>
          <w:p w14:paraId="42E42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205" w:type="dxa"/>
            <w:gridSpan w:val="2"/>
            <w:tcBorders>
              <w:top w:val="single" w:color="4F81BD" w:sz="4" w:space="0"/>
              <w:left w:val="nil"/>
              <w:bottom w:val="nil"/>
              <w:right w:val="nil"/>
            </w:tcBorders>
            <w:shd w:val="clear" w:color="auto" w:fill="EDF2F8"/>
            <w:vAlign w:val="center"/>
          </w:tcPr>
          <w:p w14:paraId="71A88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关于发布CNAS-GL055：2024《基于认可评审不符合项的校准实验室风险管理指南》的通知</w:t>
            </w:r>
          </w:p>
        </w:tc>
        <w:tc>
          <w:tcPr>
            <w:tcW w:w="2113" w:type="dxa"/>
            <w:gridSpan w:val="2"/>
            <w:tcBorders>
              <w:top w:val="single" w:color="4F81BD" w:sz="4" w:space="0"/>
              <w:left w:val="nil"/>
              <w:bottom w:val="nil"/>
              <w:right w:val="nil"/>
            </w:tcBorders>
            <w:shd w:val="clear" w:color="auto" w:fill="EDF2F8"/>
            <w:vAlign w:val="center"/>
          </w:tcPr>
          <w:p w14:paraId="29E99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2024.07.01</w:t>
            </w:r>
          </w:p>
        </w:tc>
        <w:tc>
          <w:tcPr>
            <w:tcW w:w="2073" w:type="dxa"/>
            <w:gridSpan w:val="2"/>
            <w:tcBorders>
              <w:top w:val="single" w:color="4F81BD" w:sz="4" w:space="0"/>
              <w:left w:val="nil"/>
              <w:bottom w:val="nil"/>
              <w:right w:val="nil"/>
            </w:tcBorders>
            <w:shd w:val="clear" w:color="auto" w:fill="EDF2F8"/>
            <w:vAlign w:val="center"/>
          </w:tcPr>
          <w:p w14:paraId="5516E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2024.07.01</w:t>
            </w:r>
          </w:p>
        </w:tc>
        <w:tc>
          <w:tcPr>
            <w:tcW w:w="12378" w:type="dxa"/>
            <w:gridSpan w:val="2"/>
            <w:tcBorders>
              <w:top w:val="single" w:color="4F81BD" w:sz="4" w:space="0"/>
              <w:left w:val="nil"/>
              <w:bottom w:val="nil"/>
              <w:right w:val="nil"/>
            </w:tcBorders>
            <w:shd w:val="clear" w:color="auto" w:fill="EDF2F8"/>
            <w:noWrap/>
            <w:vAlign w:val="center"/>
          </w:tcPr>
          <w:p w14:paraId="72901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"https://www.cnas.org.cn/zxtz/914480.shtml"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https://www.cnas.org.cn/zxtz/914480.shtml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29C04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383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089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关于发布和实施CNAS-GL057：2024《标准物质标准样品选择指南》的通知</w:t>
            </w:r>
          </w:p>
        </w:tc>
        <w:tc>
          <w:tcPr>
            <w:tcW w:w="21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8D6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2024.07.01</w:t>
            </w:r>
          </w:p>
        </w:tc>
        <w:tc>
          <w:tcPr>
            <w:tcW w:w="2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9AB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2024.07.01</w:t>
            </w:r>
          </w:p>
        </w:tc>
        <w:tc>
          <w:tcPr>
            <w:tcW w:w="123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C37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"https://www.cnas.org.cn/zxtz/914481.shtml"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https://www.cnas.org.cn/zxtz/914481.shtml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4A3A6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noWrap/>
            <w:vAlign w:val="center"/>
          </w:tcPr>
          <w:p w14:paraId="5E457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vAlign w:val="center"/>
          </w:tcPr>
          <w:p w14:paraId="7258E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关于发布CNAS-CL01-A014：2024《检测和校准实验室能力认可准则在植物检疫领域的应用说明》及其实施安排的通知</w:t>
            </w:r>
          </w:p>
        </w:tc>
        <w:tc>
          <w:tcPr>
            <w:tcW w:w="21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vAlign w:val="center"/>
          </w:tcPr>
          <w:p w14:paraId="01DF6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2024.07.01</w:t>
            </w:r>
          </w:p>
        </w:tc>
        <w:tc>
          <w:tcPr>
            <w:tcW w:w="2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vAlign w:val="center"/>
          </w:tcPr>
          <w:p w14:paraId="2E072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2024.07.01</w:t>
            </w:r>
          </w:p>
        </w:tc>
        <w:tc>
          <w:tcPr>
            <w:tcW w:w="123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noWrap/>
            <w:vAlign w:val="center"/>
          </w:tcPr>
          <w:p w14:paraId="62A1D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"https://www.cnas.org.cn/zxtz/914490.shtml"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https://www.cnas.org.cn/zxtz/914490.shtml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4F206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7C1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FD4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市场监管总局关于对电动自行车用锂离子蓄电池、电动自行车用充电器实施强制性产品认证管理的公告</w:t>
            </w:r>
          </w:p>
        </w:tc>
        <w:tc>
          <w:tcPr>
            <w:tcW w:w="21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582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2024.07.02</w:t>
            </w:r>
          </w:p>
        </w:tc>
        <w:tc>
          <w:tcPr>
            <w:tcW w:w="2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F6F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2024.07.02</w:t>
            </w:r>
          </w:p>
        </w:tc>
        <w:tc>
          <w:tcPr>
            <w:tcW w:w="123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C3A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"https://www.samr.gov.cn/zw/zfxxgk/fdzdgknr/rzjgs/art/2024/art_39caec2eab454e09a47d7212a292555d.html"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https://www.samr.gov.cn/zw/zfxxgk/fdzdgknr/rzjgs/art/2024/art_39caec2eab454e09a47d7212a292555d.html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32E78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noWrap/>
            <w:vAlign w:val="center"/>
          </w:tcPr>
          <w:p w14:paraId="37F96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vAlign w:val="center"/>
          </w:tcPr>
          <w:p w14:paraId="6C74D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关于发布CNAS-CL01-G001：2024《检测和校准实验室能力认可准则的应用要求》及其过渡政策的通知</w:t>
            </w:r>
          </w:p>
        </w:tc>
        <w:tc>
          <w:tcPr>
            <w:tcW w:w="21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vAlign w:val="center"/>
          </w:tcPr>
          <w:p w14:paraId="665B7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2024.07.03</w:t>
            </w:r>
          </w:p>
        </w:tc>
        <w:tc>
          <w:tcPr>
            <w:tcW w:w="2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vAlign w:val="center"/>
          </w:tcPr>
          <w:p w14:paraId="6017A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2024.07.03</w:t>
            </w:r>
          </w:p>
        </w:tc>
        <w:tc>
          <w:tcPr>
            <w:tcW w:w="123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vAlign w:val="center"/>
          </w:tcPr>
          <w:p w14:paraId="6B7AA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"https://www.cnas.org.cn/zxtz/914515.shtml"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https://www.cnas.org.cn/zxtz/914515.shtml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6BFBD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103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B71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关于发布CNAS-CV04：2024《〈环境信息审定与核查机构通用原则和要求〉（ISO 14065：2020）标准的应用要求》等文件的通知</w:t>
            </w:r>
          </w:p>
        </w:tc>
        <w:tc>
          <w:tcPr>
            <w:tcW w:w="21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C6D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2024.07.04</w:t>
            </w:r>
          </w:p>
        </w:tc>
        <w:tc>
          <w:tcPr>
            <w:tcW w:w="2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C58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2024.07.04</w:t>
            </w:r>
          </w:p>
        </w:tc>
        <w:tc>
          <w:tcPr>
            <w:tcW w:w="123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FCD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"https://www.cnas.org.cn/zxtz/914520.shtml"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https://www.cnas.org.cn/zxtz/914520.shtml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412CF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noWrap/>
            <w:vAlign w:val="center"/>
          </w:tcPr>
          <w:p w14:paraId="7FEC3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vAlign w:val="center"/>
          </w:tcPr>
          <w:p w14:paraId="7A34F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市场监管总局关于发布《特种设备事故报告和调查处理导则》的公告</w:t>
            </w:r>
          </w:p>
        </w:tc>
        <w:tc>
          <w:tcPr>
            <w:tcW w:w="21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vAlign w:val="center"/>
          </w:tcPr>
          <w:p w14:paraId="38FE0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2024.07.04</w:t>
            </w:r>
          </w:p>
        </w:tc>
        <w:tc>
          <w:tcPr>
            <w:tcW w:w="2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vAlign w:val="center"/>
          </w:tcPr>
          <w:p w14:paraId="0B200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2024.07.04</w:t>
            </w:r>
          </w:p>
        </w:tc>
        <w:tc>
          <w:tcPr>
            <w:tcW w:w="123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noWrap/>
            <w:vAlign w:val="center"/>
          </w:tcPr>
          <w:p w14:paraId="59344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"https://www.samr.gov.cn/zw/zfxxgk/fdzdgknr/tzsbs/art/2024/art_1451a178ecc2460394ea9e3ff5eb14de.html"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https://www.samr.gov.cn/zw/zfxxgk/fdzdgknr/tzsbs/art/2024/art_1451a178ecc2460394ea9e3ff5eb14de.html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662FC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AC6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70B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中华人民共和国应急管理部公告（2024年第3号）</w:t>
            </w:r>
          </w:p>
        </w:tc>
        <w:tc>
          <w:tcPr>
            <w:tcW w:w="21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2F9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2024.07.04</w:t>
            </w:r>
          </w:p>
        </w:tc>
        <w:tc>
          <w:tcPr>
            <w:tcW w:w="2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056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2024.07.04</w:t>
            </w:r>
          </w:p>
        </w:tc>
        <w:tc>
          <w:tcPr>
            <w:tcW w:w="123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343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"http://www.mem.gov.cn/gk/zfxxgkpt/fdzdgknr/202407/t20240704_493693.shtml"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http://www.mem.gov.cn/gk/zfxxgkpt/fdzdgknr/202407/t20240704_493693.shtml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5132E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noWrap/>
            <w:vAlign w:val="center"/>
          </w:tcPr>
          <w:p w14:paraId="7F565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vAlign w:val="center"/>
          </w:tcPr>
          <w:p w14:paraId="01288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市场监管总局关于对《特种设备安全监察条例（公开征求意见稿）》再次公开征求意见的公告</w:t>
            </w:r>
          </w:p>
        </w:tc>
        <w:tc>
          <w:tcPr>
            <w:tcW w:w="21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vAlign w:val="center"/>
          </w:tcPr>
          <w:p w14:paraId="18B2D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2024.07.08</w:t>
            </w:r>
          </w:p>
        </w:tc>
        <w:tc>
          <w:tcPr>
            <w:tcW w:w="2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vAlign w:val="center"/>
          </w:tcPr>
          <w:p w14:paraId="6DC10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2024.07.08</w:t>
            </w:r>
          </w:p>
        </w:tc>
        <w:tc>
          <w:tcPr>
            <w:tcW w:w="123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noWrap/>
            <w:vAlign w:val="center"/>
          </w:tcPr>
          <w:p w14:paraId="684E4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"https://www.samr.gov.cn/hd/zjdc/art/2024/art_2c74988219e443d393c7d41b54f961f9.html"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https://www.samr.gov.cn/hd/zjdc/art/2024/art_2c74988219e443d393c7d41b54f961f9.html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33168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95A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B39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应急管理部关于学习宣传贯彻新修订的《中华人民共和国突发事件应对法》的通知</w:t>
            </w:r>
          </w:p>
        </w:tc>
        <w:tc>
          <w:tcPr>
            <w:tcW w:w="21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AC0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2024.07.08</w:t>
            </w:r>
          </w:p>
        </w:tc>
        <w:tc>
          <w:tcPr>
            <w:tcW w:w="2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BBC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2024.07.08</w:t>
            </w:r>
          </w:p>
        </w:tc>
        <w:tc>
          <w:tcPr>
            <w:tcW w:w="123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55D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"http://www.mem.gov.cn/gk/zfxxgkpt/fdzdgknr/202407/t20240708_493982.shtml"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http://www.mem.gov.cn/gk/zfxxgkpt/fdzdgknr/202407/t20240708_493982.shtml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6469E0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noWrap/>
            <w:vAlign w:val="center"/>
          </w:tcPr>
          <w:p w14:paraId="5AE3D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vAlign w:val="center"/>
          </w:tcPr>
          <w:p w14:paraId="0AC4C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市场监管总局关于发布《特殊医学用途电解质配方食品注册指南》等文件的公告</w:t>
            </w:r>
          </w:p>
        </w:tc>
        <w:tc>
          <w:tcPr>
            <w:tcW w:w="21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vAlign w:val="center"/>
          </w:tcPr>
          <w:p w14:paraId="194BA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2024.07.19</w:t>
            </w:r>
          </w:p>
        </w:tc>
        <w:tc>
          <w:tcPr>
            <w:tcW w:w="2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vAlign w:val="center"/>
          </w:tcPr>
          <w:p w14:paraId="1CBDD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2024.07.19</w:t>
            </w:r>
          </w:p>
        </w:tc>
        <w:tc>
          <w:tcPr>
            <w:tcW w:w="123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noWrap/>
            <w:vAlign w:val="center"/>
          </w:tcPr>
          <w:p w14:paraId="7523F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"https://www.samr.gov.cn/zw/zfxxgk/fdzdgknr/tssps/art/2024/art_6a4082970564402399b7727c1a573833.html"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https://www.samr.gov.cn/zw/zfxxgk/fdzdgknr/tssps/art/2024/art_6a4082970564402399b7727c1a573833.html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519C2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B8D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4B4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市工业和信息化局关于2024年支持绿色发展促进工业“碳达峰”扶持计划拟资助项目公示的通知</w:t>
            </w:r>
          </w:p>
        </w:tc>
        <w:tc>
          <w:tcPr>
            <w:tcW w:w="21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D2A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2024.07.24</w:t>
            </w:r>
          </w:p>
        </w:tc>
        <w:tc>
          <w:tcPr>
            <w:tcW w:w="2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00E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2024.07.24</w:t>
            </w:r>
          </w:p>
        </w:tc>
        <w:tc>
          <w:tcPr>
            <w:tcW w:w="123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3F5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"https://gxj.sz.gov.cn/xxgk/xxgkml/qt/tzgg/content/post_11464078.html"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https://gxj.sz.gov.cn/xxgk/xxgkml/qt/tzgg/content/post_11464078.html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008D5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noWrap/>
            <w:vAlign w:val="center"/>
          </w:tcPr>
          <w:p w14:paraId="65A55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2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vAlign w:val="center"/>
          </w:tcPr>
          <w:p w14:paraId="0FCAF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市场监管总局办公厅关于开展机动车检验专项整治行动的通知</w:t>
            </w:r>
          </w:p>
        </w:tc>
        <w:tc>
          <w:tcPr>
            <w:tcW w:w="21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vAlign w:val="center"/>
          </w:tcPr>
          <w:p w14:paraId="1AA97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2024.07.24</w:t>
            </w:r>
          </w:p>
        </w:tc>
        <w:tc>
          <w:tcPr>
            <w:tcW w:w="2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vAlign w:val="center"/>
          </w:tcPr>
          <w:p w14:paraId="73A6A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2024.07.24</w:t>
            </w:r>
          </w:p>
        </w:tc>
        <w:tc>
          <w:tcPr>
            <w:tcW w:w="123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DF2F8"/>
            <w:noWrap/>
            <w:vAlign w:val="center"/>
          </w:tcPr>
          <w:p w14:paraId="141CC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"https://www.samr.gov.cn/zw/zfxxgk/fdzdgknr/rkjcs/art/2024/art_e47317efbfe040ad99e1df80844d89dd.html"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https://www.samr.gov.cn/zw/zfxxgk/fdzdgknr/rkjcs/art/2024/art_e47317efbfe040ad99e1df80844d89dd.html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</w:tbl>
    <w:p w14:paraId="77D2FA6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SnapToGridInCell/>
    <w:doNotWrapTextWithPunct/>
    <w:doNotUseEastAsianBreakRules/>
    <w:growAutofit/>
    <w:useFELayout/>
    <w:doNotUseIndentAsNumberingTabStop/>
    <w:compatSetting w:name="compatibilityMode" w:uri="http://schemas.microsoft.com/office/word" w:val="14"/>
  </w:compat>
  <w:docVars>
    <w:docVar w:name="commondata" w:val="eyJoZGlkIjoiMjJhNzdkZDY5ZjM1MDg1NmMwM2RiM2MzM2NjODI5OTgifQ=="/>
  </w:docVars>
  <w:rsids>
    <w:rsidRoot w:val="00FD4FA5"/>
    <w:rsid w:val="00CC5726"/>
    <w:rsid w:val="00FD4FA5"/>
    <w:rsid w:val="0736535D"/>
    <w:rsid w:val="166F1560"/>
    <w:rsid w:val="1BA24E2E"/>
    <w:rsid w:val="2302527D"/>
    <w:rsid w:val="30F54E49"/>
    <w:rsid w:val="351F54DB"/>
    <w:rsid w:val="37817F75"/>
    <w:rsid w:val="398B4AB1"/>
    <w:rsid w:val="3DFC3EAB"/>
    <w:rsid w:val="4C823996"/>
    <w:rsid w:val="53541697"/>
    <w:rsid w:val="5E4E4B34"/>
    <w:rsid w:val="5ECD1C4E"/>
    <w:rsid w:val="73C6258B"/>
    <w:rsid w:val="7B170D06"/>
    <w:rsid w:val="7F3A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pBdr>
        <w:bottom w:val="single" w:color="5B9BD5" w:sz="8" w:space="0"/>
      </w:pBdr>
      <w:spacing w:before="100" w:beforeAutospacing="1" w:after="100" w:afterAutospacing="1"/>
      <w:outlineLvl w:val="0"/>
    </w:pPr>
    <w:rPr>
      <w:b/>
      <w:bCs/>
      <w:color w:val="44546A"/>
      <w:sz w:val="30"/>
      <w:szCs w:val="30"/>
    </w:rPr>
  </w:style>
  <w:style w:type="paragraph" w:styleId="3">
    <w:name w:val="heading 2"/>
    <w:basedOn w:val="1"/>
    <w:next w:val="1"/>
    <w:autoRedefine/>
    <w:qFormat/>
    <w:uiPriority w:val="9"/>
    <w:pPr>
      <w:pBdr>
        <w:bottom w:val="single" w:color="5B9BD5" w:sz="8" w:space="0"/>
      </w:pBdr>
      <w:spacing w:before="100" w:beforeAutospacing="1" w:after="100" w:afterAutospacing="1"/>
      <w:outlineLvl w:val="1"/>
    </w:pPr>
    <w:rPr>
      <w:b/>
      <w:bCs/>
      <w:color w:val="44546A"/>
      <w:sz w:val="26"/>
      <w:szCs w:val="26"/>
    </w:rPr>
  </w:style>
  <w:style w:type="paragraph" w:styleId="4">
    <w:name w:val="heading 3"/>
    <w:basedOn w:val="1"/>
    <w:next w:val="1"/>
    <w:autoRedefine/>
    <w:qFormat/>
    <w:uiPriority w:val="9"/>
    <w:pPr>
      <w:pBdr>
        <w:bottom w:val="single" w:color="ACCCEA" w:sz="8" w:space="0"/>
      </w:pBdr>
      <w:spacing w:before="100" w:beforeAutospacing="1" w:after="100" w:afterAutospacing="1"/>
      <w:outlineLvl w:val="2"/>
    </w:pPr>
    <w:rPr>
      <w:b/>
      <w:bCs/>
      <w:color w:val="44546A"/>
      <w:sz w:val="22"/>
      <w:szCs w:val="22"/>
    </w:rPr>
  </w:style>
  <w:style w:type="paragraph" w:styleId="5">
    <w:name w:val="heading 4"/>
    <w:basedOn w:val="1"/>
    <w:next w:val="1"/>
    <w:autoRedefine/>
    <w:qFormat/>
    <w:uiPriority w:val="9"/>
    <w:pPr>
      <w:spacing w:before="100" w:beforeAutospacing="1" w:after="100" w:afterAutospacing="1"/>
      <w:outlineLvl w:val="3"/>
    </w:pPr>
    <w:rPr>
      <w:b/>
      <w:bCs/>
      <w:color w:val="44546A"/>
      <w:sz w:val="22"/>
      <w:szCs w:val="22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itle"/>
    <w:basedOn w:val="1"/>
    <w:autoRedefine/>
    <w:qFormat/>
    <w:uiPriority w:val="10"/>
    <w:pPr>
      <w:spacing w:before="100" w:beforeAutospacing="1" w:after="100" w:afterAutospacing="1"/>
    </w:pPr>
    <w:rPr>
      <w:b/>
      <w:bCs/>
      <w:color w:val="44546A"/>
      <w:sz w:val="36"/>
      <w:szCs w:val="36"/>
    </w:rPr>
  </w:style>
  <w:style w:type="character" w:styleId="9">
    <w:name w:val="FollowedHyperlink"/>
    <w:basedOn w:val="8"/>
    <w:autoRedefine/>
    <w:semiHidden/>
    <w:unhideWhenUsed/>
    <w:qFormat/>
    <w:uiPriority w:val="99"/>
    <w:rPr>
      <w:color w:val="800080"/>
      <w:u w:val="single"/>
    </w:rPr>
  </w:style>
  <w:style w:type="character" w:styleId="10">
    <w:name w:val="Hyperlink"/>
    <w:basedOn w:val="8"/>
    <w:autoRedefine/>
    <w:semiHidden/>
    <w:unhideWhenUsed/>
    <w:qFormat/>
    <w:uiPriority w:val="99"/>
    <w:rPr>
      <w:color w:val="0000FF"/>
      <w:u w:val="single"/>
    </w:rPr>
  </w:style>
  <w:style w:type="paragraph" w:customStyle="1" w:styleId="11">
    <w:name w:val="font0"/>
    <w:basedOn w:val="1"/>
    <w:autoRedefine/>
    <w:qFormat/>
    <w:uiPriority w:val="0"/>
    <w:pPr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12">
    <w:name w:val="font1"/>
    <w:basedOn w:val="1"/>
    <w:autoRedefine/>
    <w:qFormat/>
    <w:uiPriority w:val="0"/>
    <w:pPr>
      <w:spacing w:before="100" w:beforeAutospacing="1" w:after="100" w:afterAutospacing="1"/>
    </w:pPr>
    <w:rPr>
      <w:color w:val="000000"/>
    </w:rPr>
  </w:style>
  <w:style w:type="paragraph" w:customStyle="1" w:styleId="13">
    <w:name w:val="font2"/>
    <w:basedOn w:val="1"/>
    <w:autoRedefine/>
    <w:qFormat/>
    <w:uiPriority w:val="0"/>
    <w:pPr>
      <w:spacing w:before="100" w:beforeAutospacing="1" w:after="100" w:afterAutospacing="1"/>
    </w:pPr>
    <w:rPr>
      <w:b/>
      <w:bCs/>
      <w:color w:val="000000"/>
    </w:rPr>
  </w:style>
  <w:style w:type="paragraph" w:customStyle="1" w:styleId="14">
    <w:name w:val="font3"/>
    <w:basedOn w:val="1"/>
    <w:autoRedefine/>
    <w:qFormat/>
    <w:uiPriority w:val="0"/>
    <w:pPr>
      <w:spacing w:before="100" w:beforeAutospacing="1" w:after="100" w:afterAutospacing="1"/>
    </w:pPr>
    <w:rPr>
      <w:color w:val="0000FF"/>
      <w:sz w:val="22"/>
      <w:szCs w:val="22"/>
      <w:u w:val="single"/>
    </w:rPr>
  </w:style>
  <w:style w:type="paragraph" w:customStyle="1" w:styleId="15">
    <w:name w:val="font4"/>
    <w:basedOn w:val="1"/>
    <w:autoRedefine/>
    <w:qFormat/>
    <w:uiPriority w:val="0"/>
    <w:pPr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16">
    <w:name w:val="font5"/>
    <w:basedOn w:val="1"/>
    <w:autoRedefine/>
    <w:qFormat/>
    <w:uiPriority w:val="0"/>
    <w:pPr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17">
    <w:name w:val="font6"/>
    <w:basedOn w:val="1"/>
    <w:autoRedefine/>
    <w:qFormat/>
    <w:uiPriority w:val="0"/>
    <w:pPr>
      <w:spacing w:before="100" w:beforeAutospacing="1" w:after="100" w:afterAutospacing="1"/>
    </w:pPr>
    <w:rPr>
      <w:color w:val="3F3F76"/>
      <w:sz w:val="22"/>
      <w:szCs w:val="22"/>
    </w:rPr>
  </w:style>
  <w:style w:type="paragraph" w:customStyle="1" w:styleId="18">
    <w:name w:val="font7"/>
    <w:basedOn w:val="1"/>
    <w:autoRedefine/>
    <w:qFormat/>
    <w:uiPriority w:val="0"/>
    <w:pPr>
      <w:spacing w:before="100" w:beforeAutospacing="1" w:after="100" w:afterAutospacing="1"/>
    </w:pPr>
    <w:rPr>
      <w:color w:val="9C0006"/>
      <w:sz w:val="22"/>
      <w:szCs w:val="22"/>
    </w:rPr>
  </w:style>
  <w:style w:type="paragraph" w:customStyle="1" w:styleId="19">
    <w:name w:val="font8"/>
    <w:basedOn w:val="1"/>
    <w:autoRedefine/>
    <w:qFormat/>
    <w:uiPriority w:val="0"/>
    <w:pPr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20">
    <w:name w:val="font9"/>
    <w:basedOn w:val="1"/>
    <w:autoRedefine/>
    <w:qFormat/>
    <w:uiPriority w:val="0"/>
    <w:pPr>
      <w:spacing w:before="100" w:beforeAutospacing="1" w:after="100" w:afterAutospacing="1"/>
    </w:pPr>
    <w:rPr>
      <w:color w:val="800080"/>
      <w:sz w:val="22"/>
      <w:szCs w:val="22"/>
      <w:u w:val="single"/>
    </w:rPr>
  </w:style>
  <w:style w:type="paragraph" w:customStyle="1" w:styleId="21">
    <w:name w:val="font10"/>
    <w:basedOn w:val="1"/>
    <w:autoRedefine/>
    <w:qFormat/>
    <w:uiPriority w:val="0"/>
    <w:pPr>
      <w:spacing w:before="100" w:beforeAutospacing="1" w:after="100" w:afterAutospacing="1"/>
    </w:pPr>
    <w:rPr>
      <w:b/>
      <w:bCs/>
      <w:color w:val="44546A"/>
      <w:sz w:val="22"/>
      <w:szCs w:val="22"/>
    </w:rPr>
  </w:style>
  <w:style w:type="paragraph" w:customStyle="1" w:styleId="22">
    <w:name w:val="font11"/>
    <w:basedOn w:val="1"/>
    <w:autoRedefine/>
    <w:qFormat/>
    <w:uiPriority w:val="0"/>
    <w:pPr>
      <w:spacing w:before="100" w:beforeAutospacing="1" w:after="100" w:afterAutospacing="1"/>
    </w:pPr>
    <w:rPr>
      <w:color w:val="FF0000"/>
      <w:sz w:val="22"/>
      <w:szCs w:val="22"/>
    </w:rPr>
  </w:style>
  <w:style w:type="paragraph" w:customStyle="1" w:styleId="23">
    <w:name w:val="font12"/>
    <w:basedOn w:val="1"/>
    <w:autoRedefine/>
    <w:qFormat/>
    <w:uiPriority w:val="0"/>
    <w:pPr>
      <w:spacing w:before="100" w:beforeAutospacing="1" w:after="100" w:afterAutospacing="1"/>
    </w:pPr>
    <w:rPr>
      <w:b/>
      <w:bCs/>
      <w:color w:val="44546A"/>
      <w:sz w:val="36"/>
      <w:szCs w:val="36"/>
    </w:rPr>
  </w:style>
  <w:style w:type="paragraph" w:customStyle="1" w:styleId="24">
    <w:name w:val="font13"/>
    <w:basedOn w:val="1"/>
    <w:autoRedefine/>
    <w:qFormat/>
    <w:uiPriority w:val="0"/>
    <w:pPr>
      <w:spacing w:before="100" w:beforeAutospacing="1" w:after="100" w:afterAutospacing="1"/>
    </w:pPr>
    <w:rPr>
      <w:i/>
      <w:iCs/>
      <w:color w:val="7F7F7F"/>
      <w:sz w:val="22"/>
      <w:szCs w:val="22"/>
    </w:rPr>
  </w:style>
  <w:style w:type="paragraph" w:customStyle="1" w:styleId="25">
    <w:name w:val="font14"/>
    <w:basedOn w:val="1"/>
    <w:autoRedefine/>
    <w:qFormat/>
    <w:uiPriority w:val="0"/>
    <w:pPr>
      <w:spacing w:before="100" w:beforeAutospacing="1" w:after="100" w:afterAutospacing="1"/>
    </w:pPr>
    <w:rPr>
      <w:b/>
      <w:bCs/>
      <w:color w:val="44546A"/>
      <w:sz w:val="30"/>
      <w:szCs w:val="30"/>
    </w:rPr>
  </w:style>
  <w:style w:type="paragraph" w:customStyle="1" w:styleId="26">
    <w:name w:val="font15"/>
    <w:basedOn w:val="1"/>
    <w:autoRedefine/>
    <w:qFormat/>
    <w:uiPriority w:val="0"/>
    <w:pPr>
      <w:spacing w:before="100" w:beforeAutospacing="1" w:after="100" w:afterAutospacing="1"/>
    </w:pPr>
    <w:rPr>
      <w:b/>
      <w:bCs/>
      <w:color w:val="44546A"/>
      <w:sz w:val="26"/>
      <w:szCs w:val="26"/>
    </w:rPr>
  </w:style>
  <w:style w:type="paragraph" w:customStyle="1" w:styleId="27">
    <w:name w:val="font16"/>
    <w:basedOn w:val="1"/>
    <w:autoRedefine/>
    <w:qFormat/>
    <w:uiPriority w:val="0"/>
    <w:pPr>
      <w:spacing w:before="100" w:beforeAutospacing="1" w:after="100" w:afterAutospacing="1"/>
    </w:pPr>
    <w:rPr>
      <w:b/>
      <w:bCs/>
      <w:color w:val="3F3F3F"/>
      <w:sz w:val="22"/>
      <w:szCs w:val="22"/>
    </w:rPr>
  </w:style>
  <w:style w:type="paragraph" w:customStyle="1" w:styleId="28">
    <w:name w:val="font17"/>
    <w:basedOn w:val="1"/>
    <w:autoRedefine/>
    <w:qFormat/>
    <w:uiPriority w:val="0"/>
    <w:pPr>
      <w:spacing w:before="100" w:beforeAutospacing="1" w:after="100" w:afterAutospacing="1"/>
    </w:pPr>
    <w:rPr>
      <w:b/>
      <w:bCs/>
      <w:color w:val="FA7D00"/>
      <w:sz w:val="22"/>
      <w:szCs w:val="22"/>
    </w:rPr>
  </w:style>
  <w:style w:type="paragraph" w:customStyle="1" w:styleId="29">
    <w:name w:val="font18"/>
    <w:basedOn w:val="1"/>
    <w:autoRedefine/>
    <w:qFormat/>
    <w:uiPriority w:val="0"/>
    <w:pPr>
      <w:spacing w:before="100" w:beforeAutospacing="1" w:after="100" w:afterAutospacing="1"/>
    </w:pPr>
    <w:rPr>
      <w:b/>
      <w:bCs/>
      <w:color w:val="FFFFFF"/>
      <w:sz w:val="22"/>
      <w:szCs w:val="22"/>
    </w:rPr>
  </w:style>
  <w:style w:type="paragraph" w:customStyle="1" w:styleId="30">
    <w:name w:val="font19"/>
    <w:basedOn w:val="1"/>
    <w:autoRedefine/>
    <w:qFormat/>
    <w:uiPriority w:val="0"/>
    <w:pPr>
      <w:spacing w:before="100" w:beforeAutospacing="1" w:after="100" w:afterAutospacing="1"/>
    </w:pPr>
    <w:rPr>
      <w:color w:val="FA7D00"/>
      <w:sz w:val="22"/>
      <w:szCs w:val="22"/>
    </w:rPr>
  </w:style>
  <w:style w:type="paragraph" w:customStyle="1" w:styleId="31">
    <w:name w:val="font20"/>
    <w:basedOn w:val="1"/>
    <w:autoRedefine/>
    <w:qFormat/>
    <w:uiPriority w:val="0"/>
    <w:pPr>
      <w:spacing w:before="100" w:beforeAutospacing="1" w:after="100" w:afterAutospacing="1"/>
    </w:pPr>
    <w:rPr>
      <w:b/>
      <w:bCs/>
      <w:color w:val="000000"/>
      <w:sz w:val="22"/>
      <w:szCs w:val="22"/>
    </w:rPr>
  </w:style>
  <w:style w:type="paragraph" w:customStyle="1" w:styleId="32">
    <w:name w:val="font21"/>
    <w:basedOn w:val="1"/>
    <w:autoRedefine/>
    <w:qFormat/>
    <w:uiPriority w:val="0"/>
    <w:pPr>
      <w:spacing w:before="100" w:beforeAutospacing="1" w:after="100" w:afterAutospacing="1"/>
    </w:pPr>
    <w:rPr>
      <w:color w:val="006100"/>
      <w:sz w:val="22"/>
      <w:szCs w:val="22"/>
    </w:rPr>
  </w:style>
  <w:style w:type="paragraph" w:customStyle="1" w:styleId="33">
    <w:name w:val="font22"/>
    <w:basedOn w:val="1"/>
    <w:autoRedefine/>
    <w:qFormat/>
    <w:uiPriority w:val="0"/>
    <w:pPr>
      <w:spacing w:before="100" w:beforeAutospacing="1" w:after="100" w:afterAutospacing="1"/>
    </w:pPr>
    <w:rPr>
      <w:color w:val="9C6500"/>
      <w:sz w:val="22"/>
      <w:szCs w:val="22"/>
    </w:rPr>
  </w:style>
  <w:style w:type="paragraph" w:customStyle="1" w:styleId="34">
    <w:name w:val="常规"/>
    <w:basedOn w:val="1"/>
    <w:autoRedefine/>
    <w:qFormat/>
    <w:uiPriority w:val="0"/>
    <w:pPr>
      <w:spacing w:before="100" w:beforeAutospacing="1" w:after="100" w:afterAutospacing="1"/>
      <w:textAlignment w:val="center"/>
    </w:pPr>
    <w:rPr>
      <w:color w:val="000000"/>
      <w:sz w:val="22"/>
      <w:szCs w:val="22"/>
    </w:rPr>
  </w:style>
  <w:style w:type="paragraph" w:customStyle="1" w:styleId="35">
    <w:name w:val="货币[0]"/>
    <w:basedOn w:val="1"/>
    <w:autoRedefine/>
    <w:qFormat/>
    <w:uiPriority w:val="0"/>
    <w:pPr>
      <w:spacing w:before="100" w:beforeAutospacing="1" w:after="100" w:afterAutospacing="1"/>
    </w:pPr>
  </w:style>
  <w:style w:type="paragraph" w:customStyle="1" w:styleId="36">
    <w:name w:val="20% - 强调文字颜色 3"/>
    <w:basedOn w:val="1"/>
    <w:autoRedefine/>
    <w:qFormat/>
    <w:uiPriority w:val="0"/>
    <w:pPr>
      <w:shd w:val="clear" w:color="auto" w:fill="EDEDED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37">
    <w:name w:val="输入"/>
    <w:basedOn w:val="1"/>
    <w:autoRedefine/>
    <w:qFormat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color="auto" w:fill="FFCC99"/>
      <w:spacing w:before="100" w:beforeAutospacing="1" w:after="100" w:afterAutospacing="1"/>
    </w:pPr>
    <w:rPr>
      <w:color w:val="3F3F76"/>
      <w:sz w:val="22"/>
      <w:szCs w:val="22"/>
    </w:rPr>
  </w:style>
  <w:style w:type="paragraph" w:customStyle="1" w:styleId="38">
    <w:name w:val="货币"/>
    <w:basedOn w:val="1"/>
    <w:autoRedefine/>
    <w:qFormat/>
    <w:uiPriority w:val="0"/>
    <w:pPr>
      <w:spacing w:before="100" w:beforeAutospacing="1" w:after="100" w:afterAutospacing="1"/>
    </w:pPr>
  </w:style>
  <w:style w:type="paragraph" w:customStyle="1" w:styleId="39">
    <w:name w:val="千位分隔[0]"/>
    <w:basedOn w:val="1"/>
    <w:autoRedefine/>
    <w:qFormat/>
    <w:uiPriority w:val="0"/>
    <w:pPr>
      <w:spacing w:before="100" w:beforeAutospacing="1" w:after="100" w:afterAutospacing="1"/>
    </w:pPr>
  </w:style>
  <w:style w:type="paragraph" w:customStyle="1" w:styleId="40">
    <w:name w:val="40% - 强调文字颜色 3"/>
    <w:basedOn w:val="1"/>
    <w:autoRedefine/>
    <w:qFormat/>
    <w:uiPriority w:val="0"/>
    <w:pPr>
      <w:shd w:val="clear" w:color="auto" w:fill="DBDBDB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41">
    <w:name w:val="差"/>
    <w:basedOn w:val="1"/>
    <w:autoRedefine/>
    <w:qFormat/>
    <w:uiPriority w:val="0"/>
    <w:pPr>
      <w:shd w:val="clear" w:color="auto" w:fill="FFC7CE"/>
      <w:spacing w:before="100" w:beforeAutospacing="1" w:after="100" w:afterAutospacing="1"/>
    </w:pPr>
    <w:rPr>
      <w:color w:val="9C0006"/>
      <w:sz w:val="22"/>
      <w:szCs w:val="22"/>
    </w:rPr>
  </w:style>
  <w:style w:type="paragraph" w:customStyle="1" w:styleId="42">
    <w:name w:val="千位分隔"/>
    <w:basedOn w:val="1"/>
    <w:autoRedefine/>
    <w:qFormat/>
    <w:uiPriority w:val="0"/>
    <w:pPr>
      <w:spacing w:before="100" w:beforeAutospacing="1" w:after="100" w:afterAutospacing="1"/>
    </w:pPr>
  </w:style>
  <w:style w:type="paragraph" w:customStyle="1" w:styleId="43">
    <w:name w:val="60% - 强调文字颜色 3"/>
    <w:basedOn w:val="1"/>
    <w:autoRedefine/>
    <w:qFormat/>
    <w:uiPriority w:val="0"/>
    <w:pPr>
      <w:shd w:val="clear" w:color="auto" w:fill="C9C9C9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44">
    <w:name w:val="超链接1"/>
    <w:basedOn w:val="1"/>
    <w:autoRedefine/>
    <w:qFormat/>
    <w:uiPriority w:val="0"/>
    <w:pPr>
      <w:spacing w:before="100" w:beforeAutospacing="1" w:after="100" w:afterAutospacing="1"/>
    </w:pPr>
    <w:rPr>
      <w:color w:val="0000FF"/>
      <w:sz w:val="22"/>
      <w:szCs w:val="22"/>
      <w:u w:val="single"/>
    </w:rPr>
  </w:style>
  <w:style w:type="paragraph" w:customStyle="1" w:styleId="45">
    <w:name w:val="百分比"/>
    <w:basedOn w:val="1"/>
    <w:autoRedefine/>
    <w:qFormat/>
    <w:uiPriority w:val="0"/>
    <w:pPr>
      <w:spacing w:before="100" w:beforeAutospacing="1" w:after="100" w:afterAutospacing="1"/>
    </w:pPr>
  </w:style>
  <w:style w:type="paragraph" w:customStyle="1" w:styleId="46">
    <w:name w:val="已访问的超链接11"/>
    <w:basedOn w:val="1"/>
    <w:autoRedefine/>
    <w:qFormat/>
    <w:uiPriority w:val="0"/>
    <w:pPr>
      <w:spacing w:before="100" w:beforeAutospacing="1" w:after="100" w:afterAutospacing="1"/>
    </w:pPr>
    <w:rPr>
      <w:color w:val="800080"/>
      <w:sz w:val="22"/>
      <w:szCs w:val="22"/>
      <w:u w:val="single"/>
    </w:rPr>
  </w:style>
  <w:style w:type="paragraph" w:customStyle="1" w:styleId="47">
    <w:name w:val="注释"/>
    <w:basedOn w:val="1"/>
    <w:autoRedefine/>
    <w:qFormat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color="auto" w:fill="FFFFCC"/>
      <w:spacing w:before="100" w:beforeAutospacing="1" w:after="100" w:afterAutospacing="1"/>
    </w:pPr>
  </w:style>
  <w:style w:type="paragraph" w:customStyle="1" w:styleId="48">
    <w:name w:val="60% - 强调文字颜色 2"/>
    <w:basedOn w:val="1"/>
    <w:autoRedefine/>
    <w:qFormat/>
    <w:uiPriority w:val="0"/>
    <w:pPr>
      <w:shd w:val="clear" w:color="auto" w:fill="F4B084"/>
      <w:spacing w:before="100" w:beforeAutospacing="1" w:after="100" w:afterAutospacing="1"/>
    </w:pPr>
    <w:rPr>
      <w:color w:val="FFFFFF"/>
      <w:sz w:val="22"/>
      <w:szCs w:val="22"/>
    </w:rPr>
  </w:style>
  <w:style w:type="character" w:customStyle="1" w:styleId="49">
    <w:name w:val="标题 4 Char"/>
    <w:basedOn w:val="8"/>
    <w:autoRedefine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paragraph" w:customStyle="1" w:styleId="50">
    <w:name w:val="警告文本"/>
    <w:basedOn w:val="1"/>
    <w:autoRedefine/>
    <w:qFormat/>
    <w:uiPriority w:val="0"/>
    <w:pPr>
      <w:spacing w:before="100" w:beforeAutospacing="1" w:after="100" w:afterAutospacing="1"/>
    </w:pPr>
    <w:rPr>
      <w:color w:val="FF0000"/>
      <w:sz w:val="22"/>
      <w:szCs w:val="22"/>
    </w:rPr>
  </w:style>
  <w:style w:type="character" w:customStyle="1" w:styleId="51">
    <w:name w:val="标题 Char"/>
    <w:basedOn w:val="8"/>
    <w:autoRedefine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52">
    <w:name w:val="解释性文本"/>
    <w:basedOn w:val="1"/>
    <w:autoRedefine/>
    <w:qFormat/>
    <w:uiPriority w:val="0"/>
    <w:pPr>
      <w:spacing w:before="100" w:beforeAutospacing="1" w:after="100" w:afterAutospacing="1"/>
    </w:pPr>
    <w:rPr>
      <w:i/>
      <w:iCs/>
      <w:color w:val="7F7F7F"/>
      <w:sz w:val="22"/>
      <w:szCs w:val="22"/>
    </w:rPr>
  </w:style>
  <w:style w:type="character" w:customStyle="1" w:styleId="53">
    <w:name w:val="标题 1 Char"/>
    <w:basedOn w:val="8"/>
    <w:autoRedefine/>
    <w:qFormat/>
    <w:uiPriority w:val="9"/>
    <w:rPr>
      <w:rFonts w:ascii="宋体" w:hAnsi="宋体" w:eastAsia="宋体" w:cs="宋体"/>
      <w:b/>
      <w:bCs/>
      <w:kern w:val="44"/>
      <w:sz w:val="44"/>
      <w:szCs w:val="44"/>
    </w:rPr>
  </w:style>
  <w:style w:type="character" w:customStyle="1" w:styleId="54">
    <w:name w:val="标题 2 Char"/>
    <w:basedOn w:val="8"/>
    <w:autoRedefine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55">
    <w:name w:val="60% - 强调文字颜色 1"/>
    <w:basedOn w:val="1"/>
    <w:autoRedefine/>
    <w:qFormat/>
    <w:uiPriority w:val="0"/>
    <w:pPr>
      <w:shd w:val="clear" w:color="auto" w:fill="9BC2E6"/>
      <w:spacing w:before="100" w:beforeAutospacing="1" w:after="100" w:afterAutospacing="1"/>
    </w:pPr>
    <w:rPr>
      <w:color w:val="FFFFFF"/>
      <w:sz w:val="22"/>
      <w:szCs w:val="22"/>
    </w:rPr>
  </w:style>
  <w:style w:type="character" w:customStyle="1" w:styleId="56">
    <w:name w:val="标题 3 Char"/>
    <w:basedOn w:val="8"/>
    <w:autoRedefine/>
    <w:semiHidden/>
    <w:qFormat/>
    <w:uiPriority w:val="9"/>
    <w:rPr>
      <w:rFonts w:ascii="宋体" w:hAnsi="宋体" w:eastAsia="宋体" w:cs="宋体"/>
      <w:b/>
      <w:bCs/>
      <w:sz w:val="32"/>
      <w:szCs w:val="32"/>
    </w:rPr>
  </w:style>
  <w:style w:type="paragraph" w:customStyle="1" w:styleId="57">
    <w:name w:val="60% - 强调文字颜色 4"/>
    <w:basedOn w:val="1"/>
    <w:autoRedefine/>
    <w:qFormat/>
    <w:uiPriority w:val="0"/>
    <w:pPr>
      <w:shd w:val="clear" w:color="auto" w:fill="FFD966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58">
    <w:name w:val="输出"/>
    <w:basedOn w:val="1"/>
    <w:autoRedefine/>
    <w:qFormat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color="auto" w:fill="F2F2F2"/>
      <w:spacing w:before="100" w:beforeAutospacing="1" w:after="100" w:afterAutospacing="1"/>
    </w:pPr>
    <w:rPr>
      <w:b/>
      <w:bCs/>
      <w:color w:val="3F3F3F"/>
      <w:sz w:val="22"/>
      <w:szCs w:val="22"/>
    </w:rPr>
  </w:style>
  <w:style w:type="paragraph" w:customStyle="1" w:styleId="59">
    <w:name w:val="计算"/>
    <w:basedOn w:val="1"/>
    <w:autoRedefine/>
    <w:qFormat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color="auto" w:fill="F2F2F2"/>
      <w:spacing w:before="100" w:beforeAutospacing="1" w:after="100" w:afterAutospacing="1"/>
    </w:pPr>
    <w:rPr>
      <w:b/>
      <w:bCs/>
      <w:color w:val="FA7D00"/>
      <w:sz w:val="22"/>
      <w:szCs w:val="22"/>
    </w:rPr>
  </w:style>
  <w:style w:type="paragraph" w:customStyle="1" w:styleId="60">
    <w:name w:val="检查单元格"/>
    <w:basedOn w:val="1"/>
    <w:autoRedefine/>
    <w:qFormat/>
    <w:uiPriority w:val="0"/>
    <w:pPr>
      <w:pBdr>
        <w:top w:val="double" w:color="3F3F3F" w:sz="6" w:space="0"/>
        <w:left w:val="double" w:color="3F3F3F" w:sz="6" w:space="0"/>
        <w:bottom w:val="double" w:color="3F3F3F" w:sz="6" w:space="0"/>
        <w:right w:val="double" w:color="3F3F3F" w:sz="6" w:space="0"/>
      </w:pBdr>
      <w:shd w:val="clear" w:color="auto" w:fill="A5A5A5"/>
      <w:spacing w:before="100" w:beforeAutospacing="1" w:after="100" w:afterAutospacing="1"/>
    </w:pPr>
    <w:rPr>
      <w:b/>
      <w:bCs/>
      <w:color w:val="FFFFFF"/>
      <w:sz w:val="22"/>
      <w:szCs w:val="22"/>
    </w:rPr>
  </w:style>
  <w:style w:type="paragraph" w:customStyle="1" w:styleId="61">
    <w:name w:val="20% - 强调文字颜色 6"/>
    <w:basedOn w:val="1"/>
    <w:autoRedefine/>
    <w:qFormat/>
    <w:uiPriority w:val="0"/>
    <w:pPr>
      <w:shd w:val="clear" w:color="auto" w:fill="E2EFDA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62">
    <w:name w:val="强调文字颜色 2"/>
    <w:basedOn w:val="1"/>
    <w:autoRedefine/>
    <w:qFormat/>
    <w:uiPriority w:val="0"/>
    <w:pPr>
      <w:shd w:val="clear" w:color="auto" w:fill="ED7D31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63">
    <w:name w:val="链接单元格"/>
    <w:basedOn w:val="1"/>
    <w:autoRedefine/>
    <w:qFormat/>
    <w:uiPriority w:val="0"/>
    <w:pPr>
      <w:pBdr>
        <w:bottom w:val="double" w:color="FF8001" w:sz="6" w:space="0"/>
      </w:pBdr>
      <w:spacing w:before="100" w:beforeAutospacing="1" w:after="100" w:afterAutospacing="1"/>
    </w:pPr>
    <w:rPr>
      <w:color w:val="FA7D00"/>
      <w:sz w:val="22"/>
      <w:szCs w:val="22"/>
    </w:rPr>
  </w:style>
  <w:style w:type="paragraph" w:customStyle="1" w:styleId="64">
    <w:name w:val="汇总"/>
    <w:basedOn w:val="1"/>
    <w:autoRedefine/>
    <w:qFormat/>
    <w:uiPriority w:val="0"/>
    <w:pPr>
      <w:pBdr>
        <w:top w:val="single" w:color="5B9BD5" w:sz="4" w:space="0"/>
        <w:bottom w:val="double" w:color="5B9BD5" w:sz="6" w:space="0"/>
      </w:pBdr>
      <w:spacing w:before="100" w:beforeAutospacing="1" w:after="100" w:afterAutospacing="1"/>
    </w:pPr>
    <w:rPr>
      <w:b/>
      <w:bCs/>
      <w:color w:val="000000"/>
      <w:sz w:val="22"/>
      <w:szCs w:val="22"/>
    </w:rPr>
  </w:style>
  <w:style w:type="paragraph" w:customStyle="1" w:styleId="65">
    <w:name w:val="好"/>
    <w:basedOn w:val="1"/>
    <w:autoRedefine/>
    <w:qFormat/>
    <w:uiPriority w:val="0"/>
    <w:pPr>
      <w:shd w:val="clear" w:color="auto" w:fill="C6EFCE"/>
      <w:spacing w:before="100" w:beforeAutospacing="1" w:after="100" w:afterAutospacing="1"/>
    </w:pPr>
    <w:rPr>
      <w:color w:val="006100"/>
      <w:sz w:val="22"/>
      <w:szCs w:val="22"/>
    </w:rPr>
  </w:style>
  <w:style w:type="paragraph" w:customStyle="1" w:styleId="66">
    <w:name w:val="适中"/>
    <w:basedOn w:val="1"/>
    <w:autoRedefine/>
    <w:qFormat/>
    <w:uiPriority w:val="0"/>
    <w:pPr>
      <w:shd w:val="clear" w:color="auto" w:fill="FFEB9C"/>
      <w:spacing w:before="100" w:beforeAutospacing="1" w:after="100" w:afterAutospacing="1"/>
    </w:pPr>
    <w:rPr>
      <w:color w:val="9C6500"/>
      <w:sz w:val="22"/>
      <w:szCs w:val="22"/>
    </w:rPr>
  </w:style>
  <w:style w:type="paragraph" w:customStyle="1" w:styleId="67">
    <w:name w:val="20% - 强调文字颜色 5"/>
    <w:basedOn w:val="1"/>
    <w:autoRedefine/>
    <w:qFormat/>
    <w:uiPriority w:val="0"/>
    <w:pPr>
      <w:shd w:val="clear" w:color="auto" w:fill="D9E1F2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68">
    <w:name w:val="强调文字颜色 1"/>
    <w:basedOn w:val="1"/>
    <w:autoRedefine/>
    <w:qFormat/>
    <w:uiPriority w:val="0"/>
    <w:pPr>
      <w:shd w:val="clear" w:color="auto" w:fill="5B9BD5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69">
    <w:name w:val="20% - 强调文字颜色 1"/>
    <w:basedOn w:val="1"/>
    <w:autoRedefine/>
    <w:qFormat/>
    <w:uiPriority w:val="0"/>
    <w:pPr>
      <w:shd w:val="clear" w:color="auto" w:fill="DDEBF7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70">
    <w:name w:val="40% - 强调文字颜色 1"/>
    <w:basedOn w:val="1"/>
    <w:autoRedefine/>
    <w:qFormat/>
    <w:uiPriority w:val="0"/>
    <w:pPr>
      <w:shd w:val="clear" w:color="auto" w:fill="BDD7EE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71">
    <w:name w:val="20% - 强调文字颜色 2"/>
    <w:basedOn w:val="1"/>
    <w:autoRedefine/>
    <w:qFormat/>
    <w:uiPriority w:val="0"/>
    <w:pPr>
      <w:shd w:val="clear" w:color="auto" w:fill="FCE4D6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72">
    <w:name w:val="40% - 强调文字颜色 2"/>
    <w:basedOn w:val="1"/>
    <w:autoRedefine/>
    <w:qFormat/>
    <w:uiPriority w:val="0"/>
    <w:pPr>
      <w:shd w:val="clear" w:color="auto" w:fill="F8CBAD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73">
    <w:name w:val="强调文字颜色 3"/>
    <w:basedOn w:val="1"/>
    <w:autoRedefine/>
    <w:qFormat/>
    <w:uiPriority w:val="0"/>
    <w:pPr>
      <w:shd w:val="clear" w:color="auto" w:fill="A5A5A5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74">
    <w:name w:val="强调文字颜色 4"/>
    <w:basedOn w:val="1"/>
    <w:autoRedefine/>
    <w:qFormat/>
    <w:uiPriority w:val="0"/>
    <w:pPr>
      <w:shd w:val="clear" w:color="auto" w:fill="FFC000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75">
    <w:name w:val="20% - 强调文字颜色 4"/>
    <w:basedOn w:val="1"/>
    <w:autoRedefine/>
    <w:qFormat/>
    <w:uiPriority w:val="0"/>
    <w:pPr>
      <w:shd w:val="clear" w:color="auto" w:fill="FFF2CC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76">
    <w:name w:val="40% - 强调文字颜色 4"/>
    <w:basedOn w:val="1"/>
    <w:autoRedefine/>
    <w:qFormat/>
    <w:uiPriority w:val="0"/>
    <w:pPr>
      <w:shd w:val="clear" w:color="auto" w:fill="FFE699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77">
    <w:name w:val="强调文字颜色 5"/>
    <w:basedOn w:val="1"/>
    <w:autoRedefine/>
    <w:qFormat/>
    <w:uiPriority w:val="0"/>
    <w:pPr>
      <w:shd w:val="clear" w:color="auto" w:fill="4472C4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78">
    <w:name w:val="40% - 强调文字颜色 5"/>
    <w:basedOn w:val="1"/>
    <w:autoRedefine/>
    <w:qFormat/>
    <w:uiPriority w:val="0"/>
    <w:pPr>
      <w:shd w:val="clear" w:color="auto" w:fill="B4C6E7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79">
    <w:name w:val="60% - 强调文字颜色 5"/>
    <w:basedOn w:val="1"/>
    <w:autoRedefine/>
    <w:qFormat/>
    <w:uiPriority w:val="0"/>
    <w:pPr>
      <w:shd w:val="clear" w:color="auto" w:fill="8EA9DB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80">
    <w:name w:val="强调文字颜色 6"/>
    <w:basedOn w:val="1"/>
    <w:autoRedefine/>
    <w:qFormat/>
    <w:uiPriority w:val="0"/>
    <w:pPr>
      <w:shd w:val="clear" w:color="auto" w:fill="70AD47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81">
    <w:name w:val="40% - 强调文字颜色 6"/>
    <w:basedOn w:val="1"/>
    <w:autoRedefine/>
    <w:qFormat/>
    <w:uiPriority w:val="0"/>
    <w:pPr>
      <w:shd w:val="clear" w:color="auto" w:fill="C6E0B4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82">
    <w:name w:val="60% - 强调文字颜色 6"/>
    <w:basedOn w:val="1"/>
    <w:autoRedefine/>
    <w:qFormat/>
    <w:uiPriority w:val="0"/>
    <w:pPr>
      <w:shd w:val="clear" w:color="auto" w:fill="A9D08E"/>
      <w:spacing w:before="100" w:beforeAutospacing="1" w:after="100" w:afterAutospacing="1"/>
    </w:pPr>
    <w:rPr>
      <w:color w:val="FFFFFF"/>
      <w:sz w:val="22"/>
      <w:szCs w:val="22"/>
    </w:rPr>
  </w:style>
  <w:style w:type="table" w:customStyle="1" w:styleId="83">
    <w:name w:val="常规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  <w:tcPr>
      <w:noWrap/>
      <w:vAlign w:val="center"/>
    </w:tcPr>
  </w:style>
  <w:style w:type="table" w:customStyle="1" w:styleId="84">
    <w:name w:val="货币[0]1"/>
    <w:basedOn w:val="7"/>
    <w:autoRedefine/>
    <w:qFormat/>
    <w:uiPriority w:val="0"/>
    <w:pPr>
      <w:spacing w:before="100" w:beforeAutospacing="1" w:after="100" w:afterAutospacing="1"/>
    </w:pPr>
    <w:tblPr>
      <w:tblCellMar>
        <w:left w:w="0" w:type="dxa"/>
        <w:right w:w="0" w:type="dxa"/>
      </w:tblCellMar>
    </w:tblPr>
  </w:style>
  <w:style w:type="table" w:customStyle="1" w:styleId="85">
    <w:name w:val="20% - 强调文字颜色 3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86">
    <w:name w:val="输入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left w:w="0" w:type="dxa"/>
        <w:right w:w="0" w:type="dxa"/>
      </w:tblCellMar>
    </w:tblPr>
  </w:style>
  <w:style w:type="table" w:customStyle="1" w:styleId="87">
    <w:name w:val="货币1"/>
    <w:basedOn w:val="7"/>
    <w:autoRedefine/>
    <w:qFormat/>
    <w:uiPriority w:val="0"/>
    <w:pPr>
      <w:spacing w:before="100" w:beforeAutospacing="1" w:after="100" w:afterAutospacing="1"/>
    </w:pPr>
    <w:tblPr>
      <w:tblCellMar>
        <w:left w:w="0" w:type="dxa"/>
        <w:right w:w="0" w:type="dxa"/>
      </w:tblCellMar>
    </w:tblPr>
  </w:style>
  <w:style w:type="table" w:customStyle="1" w:styleId="88">
    <w:name w:val="千位分隔[0]1"/>
    <w:basedOn w:val="7"/>
    <w:autoRedefine/>
    <w:qFormat/>
    <w:uiPriority w:val="0"/>
    <w:pPr>
      <w:spacing w:before="100" w:beforeAutospacing="1" w:after="100" w:afterAutospacing="1"/>
    </w:pPr>
    <w:tblPr>
      <w:tblCellMar>
        <w:left w:w="0" w:type="dxa"/>
        <w:right w:w="0" w:type="dxa"/>
      </w:tblCellMar>
    </w:tblPr>
  </w:style>
  <w:style w:type="table" w:customStyle="1" w:styleId="89">
    <w:name w:val="40% - 强调文字颜色 3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90">
    <w:name w:val="差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9C0006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91">
    <w:name w:val="千位分隔1"/>
    <w:basedOn w:val="7"/>
    <w:autoRedefine/>
    <w:qFormat/>
    <w:uiPriority w:val="0"/>
    <w:pPr>
      <w:spacing w:before="100" w:beforeAutospacing="1" w:after="100" w:afterAutospacing="1"/>
    </w:pPr>
    <w:tblPr>
      <w:tblCellMar>
        <w:left w:w="0" w:type="dxa"/>
        <w:right w:w="0" w:type="dxa"/>
      </w:tblCellMar>
    </w:tblPr>
  </w:style>
  <w:style w:type="table" w:customStyle="1" w:styleId="92">
    <w:name w:val="60% - 强调文字颜色 3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93">
    <w:name w:val="超链接2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FF"/>
      <w:sz w:val="22"/>
      <w:szCs w:val="22"/>
      <w:u w:val="single"/>
    </w:rPr>
    <w:tblPr>
      <w:tblCellMar>
        <w:left w:w="0" w:type="dxa"/>
        <w:right w:w="0" w:type="dxa"/>
      </w:tblCellMar>
    </w:tblPr>
  </w:style>
  <w:style w:type="table" w:customStyle="1" w:styleId="94">
    <w:name w:val="百分比1"/>
    <w:basedOn w:val="7"/>
    <w:autoRedefine/>
    <w:qFormat/>
    <w:uiPriority w:val="0"/>
    <w:pPr>
      <w:spacing w:before="100" w:beforeAutospacing="1" w:after="100" w:afterAutospacing="1"/>
    </w:pPr>
    <w:tblPr>
      <w:tblCellMar>
        <w:left w:w="0" w:type="dxa"/>
        <w:right w:w="0" w:type="dxa"/>
      </w:tblCellMar>
    </w:tblPr>
  </w:style>
  <w:style w:type="table" w:customStyle="1" w:styleId="95">
    <w:name w:val="已访问的超链接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800080"/>
      <w:sz w:val="22"/>
      <w:szCs w:val="22"/>
      <w:u w:val="single"/>
    </w:rPr>
    <w:tblPr>
      <w:tblCellMar>
        <w:left w:w="0" w:type="dxa"/>
        <w:right w:w="0" w:type="dxa"/>
      </w:tblCellMar>
    </w:tblPr>
  </w:style>
  <w:style w:type="table" w:customStyle="1" w:styleId="96">
    <w:name w:val="注释1"/>
    <w:basedOn w:val="7"/>
    <w:autoRedefine/>
    <w:qFormat/>
    <w:uiPriority w:val="0"/>
    <w:pPr>
      <w:spacing w:before="100" w:beforeAutospacing="1" w:after="100" w:afterAutospacing="1"/>
    </w:p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left w:w="0" w:type="dxa"/>
        <w:right w:w="0" w:type="dxa"/>
      </w:tblCellMar>
    </w:tblPr>
  </w:style>
  <w:style w:type="table" w:customStyle="1" w:styleId="97">
    <w:name w:val="60% - 强调文字颜色 2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98">
    <w:name w:val="标题 4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44546A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99">
    <w:name w:val="警告文本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F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00">
    <w:name w:val="标题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44546A"/>
      <w:sz w:val="36"/>
      <w:szCs w:val="36"/>
    </w:rPr>
    <w:tblPr>
      <w:tblCellMar>
        <w:left w:w="0" w:type="dxa"/>
        <w:right w:w="0" w:type="dxa"/>
      </w:tblCellMar>
    </w:tblPr>
  </w:style>
  <w:style w:type="table" w:customStyle="1" w:styleId="101">
    <w:name w:val="解释性文本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i/>
      <w:iCs/>
      <w:color w:val="7F7F7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02">
    <w:name w:val="标题 1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left w:w="0" w:type="dxa"/>
        <w:right w:w="0" w:type="dxa"/>
      </w:tblCellMar>
    </w:tblPr>
  </w:style>
  <w:style w:type="table" w:customStyle="1" w:styleId="103">
    <w:name w:val="标题 2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left w:w="0" w:type="dxa"/>
        <w:right w:w="0" w:type="dxa"/>
      </w:tblCellMar>
    </w:tblPr>
  </w:style>
  <w:style w:type="table" w:customStyle="1" w:styleId="104">
    <w:name w:val="60% - 强调文字颜色 1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05">
    <w:name w:val="标题 3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left w:w="0" w:type="dxa"/>
        <w:right w:w="0" w:type="dxa"/>
      </w:tblCellMar>
    </w:tblPr>
  </w:style>
  <w:style w:type="table" w:customStyle="1" w:styleId="106">
    <w:name w:val="60% - 强调文字颜色 4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07">
    <w:name w:val="输出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left w:w="0" w:type="dxa"/>
        <w:right w:w="0" w:type="dxa"/>
      </w:tblCellMar>
    </w:tblPr>
  </w:style>
  <w:style w:type="table" w:customStyle="1" w:styleId="108">
    <w:name w:val="计算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left w:w="0" w:type="dxa"/>
        <w:right w:w="0" w:type="dxa"/>
      </w:tblCellMar>
    </w:tblPr>
  </w:style>
  <w:style w:type="table" w:customStyle="1" w:styleId="109">
    <w:name w:val="检查单元格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FFFFFF"/>
      <w:sz w:val="22"/>
      <w:szCs w:val="22"/>
    </w:rPr>
    <w:tblPr>
      <w:tblBorders>
        <w:top w:val="double" w:color="3F3F3F" w:sz="6" w:space="0"/>
        <w:left w:val="double" w:color="3F3F3F" w:sz="6" w:space="0"/>
        <w:bottom w:val="double" w:color="3F3F3F" w:sz="6" w:space="0"/>
        <w:right w:val="double" w:color="3F3F3F" w:sz="6" w:space="0"/>
      </w:tblBorders>
      <w:tblCellMar>
        <w:left w:w="0" w:type="dxa"/>
        <w:right w:w="0" w:type="dxa"/>
      </w:tblCellMar>
    </w:tblPr>
  </w:style>
  <w:style w:type="table" w:customStyle="1" w:styleId="110">
    <w:name w:val="20% - 强调文字颜色 6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1">
    <w:name w:val="强调文字颜色 2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2">
    <w:name w:val="链接单元格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A7D00"/>
      <w:sz w:val="22"/>
      <w:szCs w:val="22"/>
    </w:rPr>
    <w:tblPr>
      <w:tblBorders>
        <w:bottom w:val="double" w:color="FF8001" w:sz="6" w:space="0"/>
      </w:tblBorders>
      <w:tblCellMar>
        <w:left w:w="0" w:type="dxa"/>
        <w:right w:w="0" w:type="dxa"/>
      </w:tblCellMar>
    </w:tblPr>
  </w:style>
  <w:style w:type="table" w:customStyle="1" w:styleId="113">
    <w:name w:val="汇总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6" w:space="0"/>
      </w:tblBorders>
      <w:tblCellMar>
        <w:left w:w="0" w:type="dxa"/>
        <w:right w:w="0" w:type="dxa"/>
      </w:tblCellMar>
    </w:tblPr>
  </w:style>
  <w:style w:type="table" w:customStyle="1" w:styleId="114">
    <w:name w:val="好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61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5">
    <w:name w:val="适中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9C65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6">
    <w:name w:val="20% - 强调文字颜色 5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7">
    <w:name w:val="强调文字颜色 1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8">
    <w:name w:val="20% - 强调文字颜色 1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9">
    <w:name w:val="40% - 强调文字颜色 1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0">
    <w:name w:val="20% - 强调文字颜色 2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1">
    <w:name w:val="40% - 强调文字颜色 2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2">
    <w:name w:val="强调文字颜色 3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3">
    <w:name w:val="强调文字颜色 4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4">
    <w:name w:val="20% - 强调文字颜色 4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5">
    <w:name w:val="40% - 强调文字颜色 4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6">
    <w:name w:val="强调文字颜色 5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7">
    <w:name w:val="40% - 强调文字颜色 5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8">
    <w:name w:val="60% - 强调文字颜色 5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9">
    <w:name w:val="强调文字颜色 6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30">
    <w:name w:val="40% - 强调文字颜色 6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31">
    <w:name w:val="60% - 强调文字颜色 61"/>
    <w:basedOn w:val="7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paragraph" w:customStyle="1" w:styleId="132">
    <w:name w:val="style0"/>
    <w:basedOn w:val="1"/>
    <w:autoRedefine/>
    <w:qFormat/>
    <w:uiPriority w:val="0"/>
    <w:pPr>
      <w:spacing w:before="100" w:beforeAutospacing="1" w:after="100" w:afterAutospacing="1"/>
    </w:pPr>
  </w:style>
  <w:style w:type="paragraph" w:customStyle="1" w:styleId="133">
    <w:name w:val="xl79"/>
    <w:basedOn w:val="132"/>
    <w:autoRedefine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</w:style>
  <w:style w:type="paragraph" w:customStyle="1" w:styleId="134">
    <w:name w:val="xl78"/>
    <w:basedOn w:val="132"/>
    <w:autoRedefine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jc w:val="center"/>
    </w:pPr>
  </w:style>
  <w:style w:type="paragraph" w:customStyle="1" w:styleId="135">
    <w:name w:val="xl77"/>
    <w:basedOn w:val="132"/>
    <w:autoRedefine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</w:style>
  <w:style w:type="paragraph" w:customStyle="1" w:styleId="136">
    <w:name w:val="xl75"/>
    <w:basedOn w:val="132"/>
    <w:autoRedefine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</w:style>
  <w:style w:type="paragraph" w:customStyle="1" w:styleId="137">
    <w:name w:val="xl74"/>
    <w:basedOn w:val="132"/>
    <w:autoRedefine/>
    <w:qFormat/>
    <w:uiPriority w:val="0"/>
    <w:pPr>
      <w:jc w:val="center"/>
    </w:pPr>
  </w:style>
  <w:style w:type="paragraph" w:customStyle="1" w:styleId="138">
    <w:name w:val="xl72"/>
    <w:basedOn w:val="132"/>
    <w:autoRedefine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</w:style>
  <w:style w:type="paragraph" w:customStyle="1" w:styleId="139">
    <w:name w:val="xl69"/>
    <w:basedOn w:val="132"/>
    <w:autoRedefine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</w:style>
  <w:style w:type="paragraph" w:customStyle="1" w:styleId="140">
    <w:name w:val="xl68"/>
    <w:basedOn w:val="132"/>
    <w:autoRedefine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b/>
      <w:bCs/>
    </w:rPr>
  </w:style>
  <w:style w:type="paragraph" w:customStyle="1" w:styleId="141">
    <w:name w:val="xl67"/>
    <w:basedOn w:val="132"/>
    <w:autoRedefine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b/>
      <w:bCs/>
    </w:rPr>
  </w:style>
  <w:style w:type="paragraph" w:customStyle="1" w:styleId="142">
    <w:name w:val="xl66"/>
    <w:basedOn w:val="132"/>
    <w:autoRedefine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</w:style>
  <w:style w:type="paragraph" w:customStyle="1" w:styleId="143">
    <w:name w:val="xl65"/>
    <w:basedOn w:val="132"/>
    <w:autoRedefine/>
    <w:qFormat/>
    <w:uiPriority w:val="0"/>
  </w:style>
  <w:style w:type="paragraph" w:customStyle="1" w:styleId="144">
    <w:name w:val="style25"/>
    <w:basedOn w:val="1"/>
    <w:autoRedefine/>
    <w:qFormat/>
    <w:uiPriority w:val="0"/>
    <w:pPr>
      <w:spacing w:before="100" w:beforeAutospacing="1" w:after="100" w:afterAutospacing="1"/>
    </w:pPr>
  </w:style>
  <w:style w:type="paragraph" w:customStyle="1" w:styleId="145">
    <w:name w:val="xl76"/>
    <w:basedOn w:val="144"/>
    <w:autoRedefine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color w:val="0000FF"/>
      <w:u w:val="single"/>
    </w:rPr>
  </w:style>
  <w:style w:type="paragraph" w:customStyle="1" w:styleId="146">
    <w:name w:val="xl73"/>
    <w:basedOn w:val="144"/>
    <w:autoRedefine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color w:val="0000FF"/>
      <w:u w:val="single"/>
    </w:rPr>
  </w:style>
  <w:style w:type="paragraph" w:customStyle="1" w:styleId="147">
    <w:name w:val="xl71"/>
    <w:basedOn w:val="144"/>
    <w:autoRedefine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color w:val="0000FF"/>
      <w:u w:val="single"/>
    </w:rPr>
  </w:style>
  <w:style w:type="paragraph" w:customStyle="1" w:styleId="148">
    <w:name w:val="xl70"/>
    <w:basedOn w:val="144"/>
    <w:autoRedefine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0D536916BC84460AB12585878871E83D_13</vt:lpwstr>
  </property>
  <property fmtid="{D5CDD505-2E9C-101B-9397-08002B2CF9AE}" pid="3" name="KSOProductBuildVer">
    <vt:lpwstr>2052-12.1.0.17147</vt:lpwstr>
  </property>
  <property fmtid="{D5CDD505-2E9C-101B-9397-08002B2CF9AE}" pid="4" name="_DocHome">
    <vt:i4>898429260</vt:i4>
  </property>
</Properties>
</file>